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BE3AA8" w:rsidP="00CF1133">
      <w:pPr>
        <w:ind w:left="-710" w:firstLine="695"/>
        <w:rPr>
          <w:b/>
          <w:bCs/>
        </w:rPr>
      </w:pPr>
      <w:r>
        <w:rPr>
          <w:b/>
          <w:bCs/>
        </w:rPr>
        <w:t>LEP – Sub Committee</w:t>
      </w:r>
    </w:p>
    <w:p w:rsidR="00BE3AA8" w:rsidRDefault="00BE3AA8" w:rsidP="00CF1133">
      <w:pPr>
        <w:ind w:left="-710" w:firstLine="695"/>
        <w:rPr>
          <w:b/>
          <w:bCs/>
        </w:rPr>
      </w:pPr>
    </w:p>
    <w:p w:rsidR="00BE3AA8" w:rsidRDefault="000F0343" w:rsidP="00BE3AA8">
      <w:pPr>
        <w:rPr>
          <w:rFonts w:eastAsia="Times New Roman" w:cs="Times New Roman"/>
          <w:b/>
          <w:color w:val="auto"/>
          <w:szCs w:val="20"/>
        </w:rPr>
      </w:pPr>
      <w:r>
        <w:rPr>
          <w:b/>
        </w:rPr>
        <w:t xml:space="preserve">Growth Deal </w:t>
      </w:r>
      <w:r w:rsidR="00787820">
        <w:rPr>
          <w:b/>
        </w:rPr>
        <w:t>Management Board</w:t>
      </w:r>
    </w:p>
    <w:p w:rsidR="00792F1F" w:rsidRDefault="00792F1F" w:rsidP="00792F1F">
      <w:r>
        <w:t>8 December 2015</w:t>
      </w:r>
    </w:p>
    <w:p w:rsidR="00792F1F" w:rsidRPr="00BC4466" w:rsidRDefault="00792F1F" w:rsidP="00CF1133">
      <w:pPr>
        <w:spacing w:after="0" w:line="256" w:lineRule="auto"/>
        <w:ind w:left="0" w:firstLine="0"/>
        <w:rPr>
          <w:b/>
          <w:bCs/>
        </w:rPr>
      </w:pPr>
    </w:p>
    <w:p w:rsidR="00BC4466" w:rsidRPr="00BC4466" w:rsidRDefault="00BC4466" w:rsidP="00CF1133">
      <w:pPr>
        <w:spacing w:after="0" w:line="256" w:lineRule="auto"/>
        <w:ind w:left="0" w:firstLine="0"/>
        <w:rPr>
          <w:b/>
          <w:bCs/>
        </w:rPr>
      </w:pPr>
      <w:r w:rsidRPr="00BC4466">
        <w:rPr>
          <w:b/>
        </w:rPr>
        <w:t xml:space="preserve">Private and Confidential: </w:t>
      </w:r>
      <w:r w:rsidR="000F0343">
        <w:rPr>
          <w:b/>
        </w:rPr>
        <w:t>No</w:t>
      </w:r>
    </w:p>
    <w:p w:rsidR="00BC4466" w:rsidRDefault="00BC4466" w:rsidP="00CF1133">
      <w:pPr>
        <w:spacing w:after="0" w:line="256" w:lineRule="auto"/>
        <w:ind w:left="0" w:firstLine="0"/>
      </w:pPr>
    </w:p>
    <w:p w:rsidR="00A3358A" w:rsidRDefault="00A3358A" w:rsidP="00A3358A"/>
    <w:p w:rsidR="00787820" w:rsidRDefault="00787820" w:rsidP="00787820">
      <w:pPr>
        <w:rPr>
          <w:rFonts w:eastAsia="Times New Roman" w:cs="Times New Roman"/>
          <w:b/>
          <w:color w:val="auto"/>
          <w:szCs w:val="20"/>
        </w:rPr>
      </w:pPr>
      <w:r>
        <w:rPr>
          <w:b/>
        </w:rPr>
        <w:t>Growth Deal Monitoring &amp; Evaluation Sub Group Update</w:t>
      </w:r>
    </w:p>
    <w:p w:rsidR="00D7480F" w:rsidRDefault="00D7480F" w:rsidP="00CF1133">
      <w:pPr>
        <w:spacing w:after="0" w:line="256" w:lineRule="auto"/>
        <w:ind w:left="0" w:firstLine="0"/>
      </w:pPr>
    </w:p>
    <w:p w:rsidR="000F0343" w:rsidRPr="00792F1F" w:rsidRDefault="00F41096" w:rsidP="00F41096">
      <w:pPr>
        <w:ind w:right="-873"/>
      </w:pPr>
      <w:r w:rsidRPr="00792F1F">
        <w:t xml:space="preserve">Report Author: </w:t>
      </w:r>
      <w:r w:rsidR="000F0343" w:rsidRPr="00792F1F">
        <w:tab/>
      </w:r>
      <w:r w:rsidR="00787820" w:rsidRPr="00792F1F">
        <w:t>Richard Hothersall</w:t>
      </w:r>
      <w:r w:rsidRPr="00792F1F">
        <w:t xml:space="preserve">, </w:t>
      </w:r>
      <w:r w:rsidR="000F0343" w:rsidRPr="00792F1F">
        <w:t xml:space="preserve">Programme Office, </w:t>
      </w:r>
      <w:r w:rsidR="00787820" w:rsidRPr="00792F1F">
        <w:t>01772 535430</w:t>
      </w:r>
      <w:r w:rsidR="000F0343" w:rsidRPr="00792F1F">
        <w:t xml:space="preserve"> </w:t>
      </w:r>
    </w:p>
    <w:p w:rsidR="00F41096" w:rsidRPr="00792F1F" w:rsidRDefault="000F0343" w:rsidP="00F41096">
      <w:pPr>
        <w:ind w:right="-873"/>
        <w:rPr>
          <w:rFonts w:eastAsia="Times New Roman" w:cs="Times New Roman"/>
          <w:color w:val="auto"/>
          <w:szCs w:val="20"/>
        </w:rPr>
      </w:pPr>
      <w:r w:rsidRPr="00792F1F">
        <w:tab/>
      </w:r>
      <w:r w:rsidRPr="00792F1F">
        <w:tab/>
      </w:r>
      <w:r w:rsidRPr="00792F1F">
        <w:tab/>
      </w:r>
      <w:r w:rsidRPr="00792F1F">
        <w:tab/>
        <w:t>growthdeal@lancashire.gov.uk</w:t>
      </w:r>
      <w:r w:rsidRPr="00792F1F">
        <w:tab/>
      </w:r>
      <w:r w:rsidR="00F41096" w:rsidRPr="00792F1F">
        <w:t xml:space="preserve"> </w:t>
      </w:r>
    </w:p>
    <w:p w:rsidR="000F0343" w:rsidRDefault="000F0343" w:rsidP="00CF1133">
      <w:pPr>
        <w:spacing w:after="0" w:line="256" w:lineRule="auto"/>
        <w:ind w:left="0" w:firstLine="0"/>
        <w:rPr>
          <w:b/>
          <w:bCs/>
        </w:rPr>
      </w:pPr>
    </w:p>
    <w:tbl>
      <w:tblPr>
        <w:tblStyle w:val="TableGrid"/>
        <w:tblW w:w="0" w:type="auto"/>
        <w:tblLook w:val="04A0" w:firstRow="1" w:lastRow="0" w:firstColumn="1" w:lastColumn="0" w:noHBand="0" w:noVBand="1"/>
      </w:tblPr>
      <w:tblGrid>
        <w:gridCol w:w="9016"/>
      </w:tblGrid>
      <w:tr w:rsidR="000F0343" w:rsidTr="00787820">
        <w:trPr>
          <w:trHeight w:val="4532"/>
        </w:trPr>
        <w:tc>
          <w:tcPr>
            <w:tcW w:w="9016" w:type="dxa"/>
          </w:tcPr>
          <w:p w:rsidR="00792F1F" w:rsidRDefault="00792F1F" w:rsidP="000F0343">
            <w:pPr>
              <w:spacing w:after="0" w:line="256" w:lineRule="auto"/>
              <w:ind w:left="0" w:firstLine="0"/>
              <w:rPr>
                <w:b/>
                <w:bCs/>
              </w:rPr>
            </w:pPr>
          </w:p>
          <w:p w:rsidR="000F0343" w:rsidRDefault="00792F1F" w:rsidP="000F0343">
            <w:pPr>
              <w:spacing w:after="0" w:line="256" w:lineRule="auto"/>
              <w:ind w:left="0" w:firstLine="0"/>
              <w:rPr>
                <w:b/>
                <w:bCs/>
              </w:rPr>
            </w:pPr>
            <w:r>
              <w:rPr>
                <w:b/>
                <w:bCs/>
              </w:rPr>
              <w:t>E</w:t>
            </w:r>
            <w:r w:rsidR="000F0343">
              <w:rPr>
                <w:b/>
                <w:bCs/>
              </w:rPr>
              <w:t>xecutive Summary</w:t>
            </w:r>
          </w:p>
          <w:p w:rsidR="000F0343" w:rsidRDefault="000F0343" w:rsidP="000F0343">
            <w:pPr>
              <w:spacing w:after="0" w:line="256" w:lineRule="auto"/>
              <w:ind w:left="0" w:firstLine="0"/>
              <w:rPr>
                <w:b/>
                <w:bCs/>
              </w:rPr>
            </w:pPr>
          </w:p>
          <w:p w:rsidR="000F0343" w:rsidRDefault="000F0343" w:rsidP="000F0343">
            <w:pPr>
              <w:spacing w:after="0" w:line="256" w:lineRule="auto"/>
              <w:ind w:left="0" w:firstLine="0"/>
            </w:pPr>
            <w:r w:rsidRPr="000F0343">
              <w:t>The purpose of this report is to provide:</w:t>
            </w:r>
          </w:p>
          <w:p w:rsidR="00A94C33" w:rsidRDefault="00A94C33" w:rsidP="000F0343">
            <w:pPr>
              <w:spacing w:after="0" w:line="256" w:lineRule="auto"/>
              <w:ind w:left="0" w:firstLine="0"/>
            </w:pPr>
          </w:p>
          <w:p w:rsidR="009C0EE9" w:rsidRDefault="00787820" w:rsidP="00414FE5">
            <w:pPr>
              <w:pStyle w:val="ListParagraph"/>
              <w:numPr>
                <w:ilvl w:val="0"/>
                <w:numId w:val="9"/>
              </w:numPr>
              <w:spacing w:after="0" w:line="256" w:lineRule="auto"/>
            </w:pPr>
            <w:r w:rsidRPr="00787820">
              <w:t>An update on the Growth Deal Monitoring</w:t>
            </w:r>
          </w:p>
          <w:p w:rsidR="000F0343" w:rsidRDefault="009C0EE9" w:rsidP="00207598">
            <w:pPr>
              <w:pStyle w:val="ListParagraph"/>
              <w:numPr>
                <w:ilvl w:val="0"/>
                <w:numId w:val="9"/>
              </w:numPr>
              <w:spacing w:after="0" w:line="256" w:lineRule="auto"/>
            </w:pPr>
            <w:r w:rsidRPr="00787820">
              <w:t xml:space="preserve">An update on the Growth Deal </w:t>
            </w:r>
            <w:r w:rsidR="00787820" w:rsidRPr="00787820">
              <w:t>Evaluation</w:t>
            </w:r>
            <w:r>
              <w:t>,</w:t>
            </w:r>
            <w:r w:rsidR="00787820" w:rsidRPr="00787820">
              <w:t xml:space="preserve"> </w:t>
            </w:r>
            <w:r>
              <w:t>including:</w:t>
            </w:r>
          </w:p>
          <w:p w:rsidR="009C0EE9" w:rsidRDefault="009C0EE9" w:rsidP="009C0EE9">
            <w:pPr>
              <w:pStyle w:val="ListParagraph"/>
              <w:numPr>
                <w:ilvl w:val="1"/>
                <w:numId w:val="9"/>
              </w:numPr>
              <w:spacing w:after="0" w:line="256" w:lineRule="auto"/>
            </w:pPr>
            <w:r>
              <w:t xml:space="preserve">The ITT </w:t>
            </w:r>
          </w:p>
          <w:p w:rsidR="009C0EE9" w:rsidRDefault="009C0EE9" w:rsidP="009C0EE9">
            <w:pPr>
              <w:pStyle w:val="ListParagraph"/>
              <w:numPr>
                <w:ilvl w:val="1"/>
                <w:numId w:val="9"/>
              </w:numPr>
              <w:spacing w:after="0" w:line="256" w:lineRule="auto"/>
            </w:pPr>
            <w:r>
              <w:t>Social Value</w:t>
            </w:r>
          </w:p>
          <w:p w:rsidR="00A94C33" w:rsidRDefault="00A94C33" w:rsidP="00A94C33">
            <w:pPr>
              <w:spacing w:after="0" w:line="256" w:lineRule="auto"/>
            </w:pPr>
          </w:p>
          <w:p w:rsidR="000F0343" w:rsidRPr="00A94C33" w:rsidRDefault="00A94C33" w:rsidP="000F0343">
            <w:pPr>
              <w:spacing w:after="0" w:line="256" w:lineRule="auto"/>
              <w:ind w:left="0" w:firstLine="0"/>
              <w:rPr>
                <w:b/>
              </w:rPr>
            </w:pPr>
            <w:r w:rsidRPr="00A94C33">
              <w:rPr>
                <w:b/>
              </w:rPr>
              <w:t>Recommendation</w:t>
            </w:r>
          </w:p>
          <w:p w:rsidR="000F0343" w:rsidRDefault="000F0343" w:rsidP="000F0343">
            <w:pPr>
              <w:spacing w:after="0" w:line="256" w:lineRule="auto"/>
              <w:ind w:left="0" w:firstLine="0"/>
            </w:pPr>
          </w:p>
          <w:p w:rsidR="00A94C33" w:rsidRDefault="00A0323B" w:rsidP="00792F1F">
            <w:pPr>
              <w:spacing w:after="0" w:line="256" w:lineRule="auto"/>
              <w:ind w:left="0" w:firstLine="0"/>
            </w:pPr>
            <w:r>
              <w:t xml:space="preserve">The </w:t>
            </w:r>
            <w:r w:rsidR="00792F1F">
              <w:t>Committee</w:t>
            </w:r>
            <w:r w:rsidR="00787820">
              <w:t xml:space="preserve"> </w:t>
            </w:r>
            <w:r>
              <w:t xml:space="preserve">is invited to consider the information contained within the report, </w:t>
            </w:r>
            <w:r w:rsidR="00840985">
              <w:t>commenting as appropriate.</w:t>
            </w:r>
          </w:p>
          <w:p w:rsidR="000F0343" w:rsidRDefault="000F0343" w:rsidP="00A94C33">
            <w:pPr>
              <w:spacing w:after="0" w:line="256" w:lineRule="auto"/>
              <w:ind w:left="0" w:firstLine="0"/>
              <w:rPr>
                <w:b/>
                <w:bCs/>
              </w:rPr>
            </w:pPr>
          </w:p>
        </w:tc>
      </w:tr>
    </w:tbl>
    <w:p w:rsidR="000F0343" w:rsidRDefault="000F0343" w:rsidP="00CF1133">
      <w:pPr>
        <w:spacing w:after="0" w:line="256" w:lineRule="auto"/>
        <w:ind w:left="0" w:firstLine="0"/>
        <w:rPr>
          <w:b/>
          <w:bCs/>
        </w:rPr>
      </w:pPr>
    </w:p>
    <w:p w:rsidR="00A3358A" w:rsidRPr="00A94C33" w:rsidRDefault="00A94C33" w:rsidP="00CF1133">
      <w:pPr>
        <w:spacing w:after="0" w:line="256" w:lineRule="auto"/>
        <w:ind w:left="0" w:firstLine="0"/>
        <w:rPr>
          <w:b/>
        </w:rPr>
      </w:pPr>
      <w:r w:rsidRPr="00A94C33">
        <w:rPr>
          <w:b/>
        </w:rPr>
        <w:t>Background and Advice</w:t>
      </w:r>
    </w:p>
    <w:p w:rsidR="000F0343" w:rsidRPr="00792F1F" w:rsidRDefault="000F0343" w:rsidP="00A3358A"/>
    <w:p w:rsidR="00BD711C" w:rsidRPr="00792F1F" w:rsidRDefault="00BD711C" w:rsidP="00A3358A">
      <w:r w:rsidRPr="00792F1F">
        <w:t>Monitoring</w:t>
      </w:r>
    </w:p>
    <w:p w:rsidR="00BD711C" w:rsidRDefault="00BD711C" w:rsidP="00A3358A"/>
    <w:p w:rsidR="00840985" w:rsidRDefault="00791108" w:rsidP="00791108">
      <w:pPr>
        <w:ind w:left="0" w:firstLine="0"/>
      </w:pPr>
      <w:r>
        <w:t>A</w:t>
      </w:r>
      <w:r w:rsidR="009C0EE9">
        <w:t xml:space="preserve"> project delivery </w:t>
      </w:r>
      <w:r>
        <w:t>monitoring tracking spreadsheet has been designed and implemented to enable tracking of claims against schedules and milestones. The spreadsheet enable</w:t>
      </w:r>
      <w:r w:rsidR="00840985">
        <w:t>s robust tracking of</w:t>
      </w:r>
      <w:r>
        <w:t xml:space="preserve"> projects t</w:t>
      </w:r>
      <w:r w:rsidR="00840985">
        <w:t xml:space="preserve">hroughout their lifetime and provides a meaningful and easily accessible audit tool.  </w:t>
      </w:r>
    </w:p>
    <w:p w:rsidR="00840985" w:rsidRDefault="00840985" w:rsidP="00791108">
      <w:pPr>
        <w:ind w:left="0" w:firstLine="0"/>
      </w:pPr>
    </w:p>
    <w:p w:rsidR="00791108" w:rsidRDefault="00840985" w:rsidP="00791108">
      <w:pPr>
        <w:ind w:left="0" w:firstLine="0"/>
      </w:pPr>
      <w:r>
        <w:t xml:space="preserve">The tracking sheet includes </w:t>
      </w:r>
      <w:r w:rsidR="00791108">
        <w:t xml:space="preserve">a RAG rating </w:t>
      </w:r>
      <w:r>
        <w:t xml:space="preserve">facility which is used to </w:t>
      </w:r>
      <w:r w:rsidR="00791108">
        <w:t xml:space="preserve">alert the sub-group to any areas that need attention. </w:t>
      </w:r>
      <w:r>
        <w:t xml:space="preserve"> To date, </w:t>
      </w:r>
      <w:r w:rsidR="00791108">
        <w:t xml:space="preserve">approved projects </w:t>
      </w:r>
      <w:r>
        <w:t>that are drawing down monies are performing as anticipated</w:t>
      </w:r>
      <w:r w:rsidR="00791108">
        <w:t>.</w:t>
      </w:r>
    </w:p>
    <w:p w:rsidR="00791108" w:rsidRDefault="00791108" w:rsidP="00A3358A"/>
    <w:p w:rsidR="00D979F2" w:rsidRDefault="00D979F2">
      <w:pPr>
        <w:spacing w:after="160" w:line="259" w:lineRule="auto"/>
        <w:ind w:left="0" w:firstLine="0"/>
      </w:pPr>
      <w:r>
        <w:br w:type="page"/>
      </w:r>
    </w:p>
    <w:p w:rsidR="00840985" w:rsidRPr="00791108" w:rsidRDefault="00840985" w:rsidP="00840985">
      <w:pPr>
        <w:ind w:left="0" w:firstLine="0"/>
      </w:pPr>
    </w:p>
    <w:p w:rsidR="00BD711C" w:rsidRPr="00792F1F" w:rsidRDefault="00BD711C" w:rsidP="00A3358A">
      <w:r w:rsidRPr="00792F1F">
        <w:t>Evaluation</w:t>
      </w:r>
    </w:p>
    <w:p w:rsidR="00BD711C" w:rsidRPr="00791108" w:rsidRDefault="00BD711C" w:rsidP="00A3358A"/>
    <w:p w:rsidR="00791108" w:rsidRPr="00791108" w:rsidRDefault="00BD711C" w:rsidP="00791108">
      <w:pPr>
        <w:ind w:left="0" w:firstLine="0"/>
      </w:pPr>
      <w:r w:rsidRPr="009C0EE9">
        <w:t>ITT Update</w:t>
      </w:r>
      <w:r w:rsidR="00791108" w:rsidRPr="009C0EE9">
        <w:t xml:space="preserve"> - the</w:t>
      </w:r>
      <w:r w:rsidR="00791108" w:rsidRPr="00791108">
        <w:t xml:space="preserve"> contract to award the winning applicant is in the process of being signed off and references are being sought and received.  Once the contract has been approved, all applicants will be informed of the outcome.  The standstill period currently applies and it is anticipated that interested parties will be notified of the decision in mid-December.  </w:t>
      </w:r>
    </w:p>
    <w:p w:rsidR="00791108" w:rsidRPr="00791108" w:rsidRDefault="00791108" w:rsidP="00791108">
      <w:pPr>
        <w:ind w:left="360" w:firstLine="0"/>
      </w:pPr>
    </w:p>
    <w:p w:rsidR="00791108" w:rsidRPr="00791108" w:rsidRDefault="00791108" w:rsidP="00791108">
      <w:pPr>
        <w:ind w:left="0" w:firstLine="0"/>
      </w:pPr>
      <w:r w:rsidRPr="00791108">
        <w:t xml:space="preserve">Currently, there are no delays to this process and it is anticipated that the winning applicant can be invited to meet the </w:t>
      </w:r>
      <w:r w:rsidRPr="00787820">
        <w:t>Growth Deal Monitoring &amp; Evaluation Sub Group</w:t>
      </w:r>
      <w:r w:rsidRPr="00791108">
        <w:t xml:space="preserve"> early in 2016 to discuss the requirements and tasks to be started </w:t>
      </w:r>
      <w:r>
        <w:t xml:space="preserve">in </w:t>
      </w:r>
      <w:r w:rsidRPr="00791108">
        <w:t>readiness for the contract start date in April 2016.</w:t>
      </w:r>
    </w:p>
    <w:p w:rsidR="00BD711C" w:rsidRDefault="00BD711C" w:rsidP="00414FE5"/>
    <w:p w:rsidR="006F5BE2" w:rsidRDefault="00791108" w:rsidP="003424F5">
      <w:pPr>
        <w:ind w:left="0" w:firstLine="0"/>
      </w:pPr>
      <w:r>
        <w:t xml:space="preserve">Approval of the contract award </w:t>
      </w:r>
      <w:r w:rsidR="003424F5">
        <w:t>will be two fold</w:t>
      </w:r>
      <w:r w:rsidR="006F5BE2" w:rsidRPr="006F5BE2">
        <w:t xml:space="preserve"> </w:t>
      </w:r>
      <w:r w:rsidR="006F5BE2">
        <w:t>in keeping with the LEP Assurance Framework and the process followed for decision making by the other Committees of the LEP:</w:t>
      </w:r>
    </w:p>
    <w:p w:rsidR="009C0EE9" w:rsidRDefault="009C0EE9" w:rsidP="003424F5">
      <w:pPr>
        <w:ind w:left="0" w:firstLine="0"/>
      </w:pPr>
    </w:p>
    <w:p w:rsidR="006F5BE2" w:rsidRDefault="003424F5" w:rsidP="00792F1F">
      <w:pPr>
        <w:pStyle w:val="ListParagraph"/>
        <w:numPr>
          <w:ilvl w:val="0"/>
          <w:numId w:val="17"/>
        </w:numPr>
        <w:ind w:left="360"/>
      </w:pPr>
      <w:r>
        <w:t xml:space="preserve">As the award is through the accountable body's procurement process, the award will need to follow the LCC internal approval process. </w:t>
      </w:r>
    </w:p>
    <w:p w:rsidR="00791108" w:rsidRPr="009C0EE9" w:rsidRDefault="003424F5" w:rsidP="00792F1F">
      <w:pPr>
        <w:pStyle w:val="ListParagraph"/>
        <w:numPr>
          <w:ilvl w:val="0"/>
          <w:numId w:val="17"/>
        </w:numPr>
        <w:ind w:left="360"/>
        <w:rPr>
          <w:rFonts w:eastAsiaTheme="minorHAnsi"/>
          <w:color w:val="auto"/>
        </w:rPr>
      </w:pPr>
      <w:r>
        <w:t>Also, as the contract is on behalf of the LEP, t</w:t>
      </w:r>
      <w:r w:rsidR="00791108">
        <w:t xml:space="preserve">he recommendation </w:t>
      </w:r>
      <w:r>
        <w:t xml:space="preserve">is that the </w:t>
      </w:r>
      <w:r w:rsidR="00792F1F">
        <w:t>Committee</w:t>
      </w:r>
      <w:r>
        <w:t xml:space="preserve"> i</w:t>
      </w:r>
      <w:r w:rsidR="00791108">
        <w:t>s asked to endorse the appointment for formal approval by the LEP at its Board meeting to be held on 15</w:t>
      </w:r>
      <w:r w:rsidR="00791108" w:rsidRPr="006F5BE2">
        <w:rPr>
          <w:vertAlign w:val="superscript"/>
        </w:rPr>
        <w:t>th</w:t>
      </w:r>
      <w:r w:rsidR="00791108">
        <w:t xml:space="preserve"> December 2015.</w:t>
      </w:r>
      <w:r w:rsidR="009C0EE9">
        <w:t xml:space="preserve"> Refer to separate </w:t>
      </w:r>
      <w:r w:rsidR="00A23C9D">
        <w:t>report</w:t>
      </w:r>
      <w:r w:rsidR="009C0EE9">
        <w:t xml:space="preserve"> seeking the award approval, titled:</w:t>
      </w:r>
    </w:p>
    <w:p w:rsidR="009C0EE9" w:rsidRPr="009C0EE9" w:rsidRDefault="009C0EE9" w:rsidP="00792F1F">
      <w:pPr>
        <w:ind w:left="0" w:firstLine="0"/>
        <w:rPr>
          <w:rFonts w:eastAsiaTheme="minorHAnsi"/>
          <w:b/>
          <w:color w:val="auto"/>
        </w:rPr>
      </w:pPr>
    </w:p>
    <w:p w:rsidR="009C0EE9" w:rsidRPr="00B17C9D" w:rsidRDefault="009C0EE9" w:rsidP="00792F1F">
      <w:pPr>
        <w:ind w:left="360" w:firstLine="0"/>
        <w:rPr>
          <w:rFonts w:eastAsia="Times New Roman" w:cs="Times New Roman"/>
          <w:i/>
          <w:color w:val="auto"/>
          <w:szCs w:val="20"/>
        </w:rPr>
      </w:pPr>
      <w:r w:rsidRPr="00B17C9D">
        <w:rPr>
          <w:i/>
        </w:rPr>
        <w:t xml:space="preserve">Monitoring and Evaluation Sub Group: </w:t>
      </w:r>
      <w:r w:rsidRPr="00B17C9D">
        <w:rPr>
          <w:bCs/>
          <w:i/>
        </w:rPr>
        <w:t>Framework Agreement for Lancashire Growth Deal Evaluation Plan Arrangements</w:t>
      </w:r>
    </w:p>
    <w:p w:rsidR="00791108" w:rsidRDefault="00791108" w:rsidP="00791108"/>
    <w:p w:rsidR="00840985" w:rsidRPr="00792F1F" w:rsidRDefault="00BD711C" w:rsidP="009C0EE9">
      <w:pPr>
        <w:ind w:left="0" w:firstLine="0"/>
      </w:pPr>
      <w:r w:rsidRPr="00792F1F">
        <w:t>Social Value</w:t>
      </w:r>
      <w:r w:rsidR="009C0EE9" w:rsidRPr="00792F1F">
        <w:t xml:space="preserve"> </w:t>
      </w:r>
    </w:p>
    <w:p w:rsidR="00840985" w:rsidRDefault="00840985" w:rsidP="009C0EE9">
      <w:pPr>
        <w:ind w:left="0" w:firstLine="0"/>
      </w:pPr>
    </w:p>
    <w:p w:rsidR="00840985" w:rsidRDefault="00840985" w:rsidP="009C0EE9">
      <w:pPr>
        <w:ind w:left="0" w:firstLine="0"/>
      </w:pPr>
      <w:r>
        <w:t xml:space="preserve">The M&amp;E Sub Group took an opportunity to consider the activity that the </w:t>
      </w:r>
      <w:r w:rsidR="00792F1F">
        <w:t xml:space="preserve">Committee had </w:t>
      </w:r>
      <w:r>
        <w:t>delegated to it</w:t>
      </w:r>
      <w:r w:rsidR="00792F1F">
        <w:t xml:space="preserve"> at the last meeting</w:t>
      </w:r>
      <w:r>
        <w:t xml:space="preserve"> in respect to Social Value</w:t>
      </w:r>
      <w:bookmarkStart w:id="0" w:name="_GoBack"/>
      <w:bookmarkEnd w:id="0"/>
      <w:r>
        <w:t>.</w:t>
      </w:r>
    </w:p>
    <w:p w:rsidR="00840985" w:rsidRDefault="00840985" w:rsidP="009C0EE9">
      <w:pPr>
        <w:ind w:left="0" w:firstLine="0"/>
      </w:pPr>
    </w:p>
    <w:p w:rsidR="00840985" w:rsidRDefault="00840985" w:rsidP="009C0EE9">
      <w:pPr>
        <w:ind w:left="0" w:firstLine="0"/>
      </w:pPr>
      <w:r>
        <w:t xml:space="preserve">The outcome of activity undertaken by the M&amp;E Sub-Group was forwarded in order to support the Social Value Working </w:t>
      </w:r>
      <w:r w:rsidR="00B17C9D">
        <w:t xml:space="preserve">Group meeting </w:t>
      </w:r>
      <w:r>
        <w:t>convened to take place on 27 November 2015.</w:t>
      </w:r>
    </w:p>
    <w:p w:rsidR="00840985" w:rsidRDefault="00840985" w:rsidP="009C0EE9">
      <w:pPr>
        <w:ind w:left="0" w:firstLine="0"/>
      </w:pPr>
    </w:p>
    <w:p w:rsidR="00BD711C" w:rsidRPr="00791108" w:rsidRDefault="00BD711C" w:rsidP="00414FE5"/>
    <w:sectPr w:rsidR="00BD711C" w:rsidRPr="00791108" w:rsidSect="002040E0">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0F1" w:rsidRDefault="00A410F1" w:rsidP="00CF1133">
      <w:pPr>
        <w:spacing w:after="0" w:line="240" w:lineRule="auto"/>
      </w:pPr>
      <w:r>
        <w:separator/>
      </w:r>
    </w:p>
  </w:endnote>
  <w:endnote w:type="continuationSeparator" w:id="0">
    <w:p w:rsidR="00A410F1" w:rsidRDefault="00A410F1"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985" w:rsidRPr="00D979F2" w:rsidRDefault="00840985">
    <w:pPr>
      <w:pStyle w:val="Footer"/>
      <w:jc w:val="center"/>
      <w:rPr>
        <w:sz w:val="18"/>
        <w:szCs w:val="18"/>
      </w:rPr>
    </w:pPr>
  </w:p>
  <w:p w:rsidR="00840985" w:rsidRDefault="00840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0F1" w:rsidRDefault="00A410F1" w:rsidP="00CF1133">
      <w:pPr>
        <w:spacing w:after="0" w:line="240" w:lineRule="auto"/>
      </w:pPr>
      <w:r>
        <w:separator/>
      </w:r>
    </w:p>
  </w:footnote>
  <w:footnote w:type="continuationSeparator" w:id="0">
    <w:p w:rsidR="00A410F1" w:rsidRDefault="00A410F1"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33BA7"/>
    <w:multiLevelType w:val="hybridMultilevel"/>
    <w:tmpl w:val="5B7034C4"/>
    <w:lvl w:ilvl="0" w:tplc="DD6AC1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003C1"/>
    <w:multiLevelType w:val="hybridMultilevel"/>
    <w:tmpl w:val="7568A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E77B9"/>
    <w:multiLevelType w:val="hybridMultilevel"/>
    <w:tmpl w:val="5442EBF0"/>
    <w:lvl w:ilvl="0" w:tplc="F6944478">
      <w:start w:val="1"/>
      <w:numFmt w:val="lowerRoman"/>
      <w:lvlText w:val="%1."/>
      <w:lvlJc w:val="left"/>
      <w:pPr>
        <w:ind w:left="360" w:hanging="360"/>
      </w:pPr>
      <w:rPr>
        <w:rFonts w:ascii="Arial" w:eastAsia="Calibri" w:hAnsi="Arial" w:cs="Arial"/>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4" w15:restartNumberingAfterBreak="0">
    <w:nsid w:val="1ED46E59"/>
    <w:multiLevelType w:val="hybridMultilevel"/>
    <w:tmpl w:val="5442EBF0"/>
    <w:lvl w:ilvl="0" w:tplc="F6944478">
      <w:start w:val="1"/>
      <w:numFmt w:val="lowerRoman"/>
      <w:lvlText w:val="%1."/>
      <w:lvlJc w:val="left"/>
      <w:pPr>
        <w:ind w:left="720" w:hanging="360"/>
      </w:pPr>
      <w:rPr>
        <w:rFonts w:ascii="Arial" w:eastAsia="Calibr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72690"/>
    <w:multiLevelType w:val="hybridMultilevel"/>
    <w:tmpl w:val="5BE01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F6356"/>
    <w:multiLevelType w:val="hybridMultilevel"/>
    <w:tmpl w:val="388EE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DD3175"/>
    <w:multiLevelType w:val="hybridMultilevel"/>
    <w:tmpl w:val="3B441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9" w15:restartNumberingAfterBreak="0">
    <w:nsid w:val="354304BE"/>
    <w:multiLevelType w:val="hybridMultilevel"/>
    <w:tmpl w:val="1ECE41DC"/>
    <w:lvl w:ilvl="0" w:tplc="F6944478">
      <w:start w:val="1"/>
      <w:numFmt w:val="lowerRoman"/>
      <w:lvlText w:val="%1."/>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681DA0"/>
    <w:multiLevelType w:val="hybridMultilevel"/>
    <w:tmpl w:val="64A23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2" w15:restartNumberingAfterBreak="0">
    <w:nsid w:val="5FC8590D"/>
    <w:multiLevelType w:val="hybridMultilevel"/>
    <w:tmpl w:val="32787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6536E8"/>
    <w:multiLevelType w:val="hybridMultilevel"/>
    <w:tmpl w:val="1316A1AE"/>
    <w:lvl w:ilvl="0" w:tplc="9D542B9A">
      <w:start w:val="1"/>
      <w:numFmt w:val="decimal"/>
      <w:lvlText w:val="%1."/>
      <w:lvlJc w:val="left"/>
      <w:pPr>
        <w:ind w:left="3621" w:hanging="360"/>
      </w:pPr>
      <w:rPr>
        <w:rFonts w:hint="default"/>
        <w:sz w:val="24"/>
      </w:rPr>
    </w:lvl>
    <w:lvl w:ilvl="1" w:tplc="08090019" w:tentative="1">
      <w:start w:val="1"/>
      <w:numFmt w:val="lowerLetter"/>
      <w:lvlText w:val="%2."/>
      <w:lvlJc w:val="left"/>
      <w:pPr>
        <w:ind w:left="4341" w:hanging="360"/>
      </w:pPr>
    </w:lvl>
    <w:lvl w:ilvl="2" w:tplc="0809001B" w:tentative="1">
      <w:start w:val="1"/>
      <w:numFmt w:val="lowerRoman"/>
      <w:lvlText w:val="%3."/>
      <w:lvlJc w:val="right"/>
      <w:pPr>
        <w:ind w:left="5061" w:hanging="180"/>
      </w:pPr>
    </w:lvl>
    <w:lvl w:ilvl="3" w:tplc="0809000F" w:tentative="1">
      <w:start w:val="1"/>
      <w:numFmt w:val="decimal"/>
      <w:lvlText w:val="%4."/>
      <w:lvlJc w:val="left"/>
      <w:pPr>
        <w:ind w:left="5781" w:hanging="360"/>
      </w:pPr>
    </w:lvl>
    <w:lvl w:ilvl="4" w:tplc="08090019" w:tentative="1">
      <w:start w:val="1"/>
      <w:numFmt w:val="lowerLetter"/>
      <w:lvlText w:val="%5."/>
      <w:lvlJc w:val="left"/>
      <w:pPr>
        <w:ind w:left="6501" w:hanging="360"/>
      </w:pPr>
    </w:lvl>
    <w:lvl w:ilvl="5" w:tplc="0809001B" w:tentative="1">
      <w:start w:val="1"/>
      <w:numFmt w:val="lowerRoman"/>
      <w:lvlText w:val="%6."/>
      <w:lvlJc w:val="right"/>
      <w:pPr>
        <w:ind w:left="7221" w:hanging="180"/>
      </w:pPr>
    </w:lvl>
    <w:lvl w:ilvl="6" w:tplc="0809000F" w:tentative="1">
      <w:start w:val="1"/>
      <w:numFmt w:val="decimal"/>
      <w:lvlText w:val="%7."/>
      <w:lvlJc w:val="left"/>
      <w:pPr>
        <w:ind w:left="7941" w:hanging="360"/>
      </w:pPr>
    </w:lvl>
    <w:lvl w:ilvl="7" w:tplc="08090019" w:tentative="1">
      <w:start w:val="1"/>
      <w:numFmt w:val="lowerLetter"/>
      <w:lvlText w:val="%8."/>
      <w:lvlJc w:val="left"/>
      <w:pPr>
        <w:ind w:left="8661" w:hanging="360"/>
      </w:pPr>
    </w:lvl>
    <w:lvl w:ilvl="8" w:tplc="0809001B" w:tentative="1">
      <w:start w:val="1"/>
      <w:numFmt w:val="lowerRoman"/>
      <w:lvlText w:val="%9."/>
      <w:lvlJc w:val="right"/>
      <w:pPr>
        <w:ind w:left="9381" w:hanging="180"/>
      </w:pPr>
    </w:lvl>
  </w:abstractNum>
  <w:abstractNum w:abstractNumId="14" w15:restartNumberingAfterBreak="0">
    <w:nsid w:val="6D312E3A"/>
    <w:multiLevelType w:val="hybridMultilevel"/>
    <w:tmpl w:val="3F226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6B505E"/>
    <w:multiLevelType w:val="hybridMultilevel"/>
    <w:tmpl w:val="17962F7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8F0179"/>
    <w:multiLevelType w:val="hybridMultilevel"/>
    <w:tmpl w:val="CE52A490"/>
    <w:lvl w:ilvl="0" w:tplc="F952712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1"/>
  </w:num>
  <w:num w:numId="4">
    <w:abstractNumId w:val="15"/>
  </w:num>
  <w:num w:numId="5">
    <w:abstractNumId w:val="7"/>
  </w:num>
  <w:num w:numId="6">
    <w:abstractNumId w:val="14"/>
  </w:num>
  <w:num w:numId="7">
    <w:abstractNumId w:val="13"/>
  </w:num>
  <w:num w:numId="8">
    <w:abstractNumId w:val="0"/>
  </w:num>
  <w:num w:numId="9">
    <w:abstractNumId w:val="2"/>
  </w:num>
  <w:num w:numId="10">
    <w:abstractNumId w:val="9"/>
  </w:num>
  <w:num w:numId="11">
    <w:abstractNumId w:val="16"/>
  </w:num>
  <w:num w:numId="12">
    <w:abstractNumId w:val="1"/>
  </w:num>
  <w:num w:numId="13">
    <w:abstractNumId w:val="10"/>
  </w:num>
  <w:num w:numId="14">
    <w:abstractNumId w:val="12"/>
  </w:num>
  <w:num w:numId="15">
    <w:abstractNumId w:val="4"/>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94697"/>
    <w:rsid w:val="000D2752"/>
    <w:rsid w:val="000F0343"/>
    <w:rsid w:val="00113335"/>
    <w:rsid w:val="00145322"/>
    <w:rsid w:val="001E0488"/>
    <w:rsid w:val="001F5AEF"/>
    <w:rsid w:val="002040E0"/>
    <w:rsid w:val="00222AD0"/>
    <w:rsid w:val="00284E9F"/>
    <w:rsid w:val="002B49F2"/>
    <w:rsid w:val="002E69BD"/>
    <w:rsid w:val="003424F5"/>
    <w:rsid w:val="0035233C"/>
    <w:rsid w:val="003B18C2"/>
    <w:rsid w:val="003D72A9"/>
    <w:rsid w:val="00414FE5"/>
    <w:rsid w:val="004176B4"/>
    <w:rsid w:val="00513AE2"/>
    <w:rsid w:val="005206EF"/>
    <w:rsid w:val="005D7059"/>
    <w:rsid w:val="00694229"/>
    <w:rsid w:val="006C0636"/>
    <w:rsid w:val="006F55DD"/>
    <w:rsid w:val="006F5BE2"/>
    <w:rsid w:val="00727978"/>
    <w:rsid w:val="00787820"/>
    <w:rsid w:val="00791108"/>
    <w:rsid w:val="00792F1F"/>
    <w:rsid w:val="007A7CEE"/>
    <w:rsid w:val="007D5F5A"/>
    <w:rsid w:val="00840985"/>
    <w:rsid w:val="00870C84"/>
    <w:rsid w:val="008D7B94"/>
    <w:rsid w:val="0096218F"/>
    <w:rsid w:val="009C0EE9"/>
    <w:rsid w:val="00A0323B"/>
    <w:rsid w:val="00A23C9D"/>
    <w:rsid w:val="00A3358A"/>
    <w:rsid w:val="00A410F1"/>
    <w:rsid w:val="00A852B0"/>
    <w:rsid w:val="00A94C33"/>
    <w:rsid w:val="00AC54AC"/>
    <w:rsid w:val="00AD0514"/>
    <w:rsid w:val="00B13ACE"/>
    <w:rsid w:val="00B17C9D"/>
    <w:rsid w:val="00B25A7B"/>
    <w:rsid w:val="00B439EA"/>
    <w:rsid w:val="00BC4466"/>
    <w:rsid w:val="00BD711C"/>
    <w:rsid w:val="00BE3AA8"/>
    <w:rsid w:val="00BF50E2"/>
    <w:rsid w:val="00C52160"/>
    <w:rsid w:val="00CD3B45"/>
    <w:rsid w:val="00CF1133"/>
    <w:rsid w:val="00D0319A"/>
    <w:rsid w:val="00D11378"/>
    <w:rsid w:val="00D1254C"/>
    <w:rsid w:val="00D7480F"/>
    <w:rsid w:val="00D979F2"/>
    <w:rsid w:val="00DB66D0"/>
    <w:rsid w:val="00E60319"/>
    <w:rsid w:val="00F01FE2"/>
    <w:rsid w:val="00F41096"/>
    <w:rsid w:val="00F631BA"/>
    <w:rsid w:val="00FD7466"/>
    <w:rsid w:val="00FE7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iPriority w:val="99"/>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table" w:styleId="TableGrid">
    <w:name w:val="Table Grid"/>
    <w:basedOn w:val="TableNormal"/>
    <w:uiPriority w:val="39"/>
    <w:rsid w:val="000F0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55DD"/>
    <w:rPr>
      <w:color w:val="0563C1" w:themeColor="hyperlink"/>
      <w:u w:val="single"/>
    </w:rPr>
  </w:style>
  <w:style w:type="paragraph" w:customStyle="1" w:styleId="ParaAttribute6">
    <w:name w:val="ParaAttribute6"/>
    <w:rsid w:val="00414FE5"/>
    <w:pPr>
      <w:wordWrap w:val="0"/>
      <w:spacing w:after="200" w:line="240" w:lineRule="auto"/>
      <w:ind w:left="720" w:hanging="720"/>
    </w:pPr>
    <w:rPr>
      <w:rFonts w:ascii="Times New Roman" w:eastAsia="Batang" w:hAnsi="Times New Roman" w:cs="Times New Roman"/>
      <w:sz w:val="20"/>
      <w:szCs w:val="20"/>
      <w:lang w:eastAsia="en-GB"/>
    </w:rPr>
  </w:style>
  <w:style w:type="character" w:customStyle="1" w:styleId="CharAttribute12">
    <w:name w:val="CharAttribute12"/>
    <w:rsid w:val="00414FE5"/>
    <w:rPr>
      <w:rFonts w:ascii="Arial" w:eastAsia="Arial"/>
      <w:sz w:val="24"/>
    </w:rPr>
  </w:style>
  <w:style w:type="paragraph" w:customStyle="1" w:styleId="ParaAttribute5">
    <w:name w:val="ParaAttribute5"/>
    <w:rsid w:val="00FE7CA7"/>
    <w:pPr>
      <w:wordWrap w:val="0"/>
      <w:spacing w:after="0" w:line="240" w:lineRule="auto"/>
    </w:pPr>
    <w:rPr>
      <w:rFonts w:ascii="Times New Roman" w:eastAsia="Batang" w:hAnsi="Times New Roman" w:cs="Times New Roman"/>
      <w:sz w:val="20"/>
      <w:szCs w:val="20"/>
      <w:lang w:eastAsia="en-GB"/>
    </w:rPr>
  </w:style>
  <w:style w:type="character" w:customStyle="1" w:styleId="CharAttribute16">
    <w:name w:val="CharAttribute16"/>
    <w:rsid w:val="00AD0514"/>
    <w:rPr>
      <w:rFonts w:ascii="Arial" w:eastAsia="Arial"/>
      <w:i/>
      <w:sz w:val="24"/>
    </w:rPr>
  </w:style>
  <w:style w:type="character" w:customStyle="1" w:styleId="CharAttribute8">
    <w:name w:val="CharAttribute8"/>
    <w:rsid w:val="001E0488"/>
    <w:rPr>
      <w:rFonts w:ascii="Arial" w:eastAsia="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1927">
      <w:bodyDiv w:val="1"/>
      <w:marLeft w:val="0"/>
      <w:marRight w:val="0"/>
      <w:marTop w:val="0"/>
      <w:marBottom w:val="0"/>
      <w:divBdr>
        <w:top w:val="none" w:sz="0" w:space="0" w:color="auto"/>
        <w:left w:val="none" w:sz="0" w:space="0" w:color="auto"/>
        <w:bottom w:val="none" w:sz="0" w:space="0" w:color="auto"/>
        <w:right w:val="none" w:sz="0" w:space="0" w:color="auto"/>
      </w:divBdr>
    </w:div>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78789870">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 w:id="194452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89ED9-67F7-44A1-89FA-BB875152D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Neville, Mike</cp:lastModifiedBy>
  <cp:revision>12</cp:revision>
  <dcterms:created xsi:type="dcterms:W3CDTF">2015-07-07T11:36:00Z</dcterms:created>
  <dcterms:modified xsi:type="dcterms:W3CDTF">2015-12-01T10:15:00Z</dcterms:modified>
</cp:coreProperties>
</file>